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01C" w:rsidRDefault="000F1A1F" w:rsidP="0023582A">
      <w:pPr>
        <w:ind w:left="142"/>
      </w:pPr>
      <w:r>
        <w:t>,</w:t>
      </w:r>
    </w:p>
    <w:tbl>
      <w:tblPr>
        <w:tblW w:w="0" w:type="auto"/>
        <w:jc w:val="center"/>
        <w:tblLook w:val="04A0"/>
      </w:tblPr>
      <w:tblGrid>
        <w:gridCol w:w="309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02881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1D0E92">
              <w:rPr>
                <w:b w:val="0"/>
                <w:szCs w:val="22"/>
                <w:lang w:val="pt-BR" w:eastAsia="pt-BR"/>
              </w:rPr>
              <w:t xml:space="preserve">Fundamental II 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8C727F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Cultura Indígena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8C727F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Etimologia e Representações.</w:t>
            </w:r>
          </w:p>
          <w:p w:rsidR="00535F86" w:rsidRPr="00535F86" w:rsidRDefault="008C727F" w:rsidP="008C727F">
            <w:pPr>
              <w:rPr>
                <w:b/>
                <w:highlight w:val="yellow"/>
              </w:rPr>
            </w:pPr>
            <w:r>
              <w:rPr>
                <w:b/>
                <w:sz w:val="24"/>
              </w:rPr>
              <w:t>Profa. Me. Ana Pelegrini.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3042C4" w:rsidRPr="003042C4" w:rsidRDefault="003042C4" w:rsidP="003042C4">
      <w:pPr>
        <w:rPr>
          <w:lang w:eastAsia="pt-BR"/>
        </w:rPr>
      </w:pPr>
    </w:p>
    <w:p w:rsidR="003042C4" w:rsidRDefault="003042C4" w:rsidP="003042C4">
      <w:pPr>
        <w:spacing w:line="360" w:lineRule="auto"/>
        <w:jc w:val="both"/>
        <w:rPr>
          <w:rFonts w:cs="Arial"/>
          <w:szCs w:val="24"/>
        </w:rPr>
      </w:pPr>
      <w:r w:rsidRPr="003042C4">
        <w:rPr>
          <w:rFonts w:cs="Arial"/>
          <w:szCs w:val="24"/>
        </w:rPr>
        <w:t>Contextualizar, com base na etimologia das palavras ÍNDIO e INDÍGENA, a construção de determinadas representações sobre o “outro”.</w:t>
      </w:r>
    </w:p>
    <w:p w:rsidR="003042C4" w:rsidRPr="003042C4" w:rsidRDefault="003042C4" w:rsidP="00960A7D">
      <w:pPr>
        <w:pStyle w:val="Default"/>
        <w:spacing w:before="100" w:beforeAutospacing="1" w:after="100" w:afterAutospacing="1"/>
        <w:rPr>
          <w:rFonts w:eastAsia="Times New Roman"/>
          <w:bCs/>
          <w:i/>
          <w:color w:val="4F6228"/>
          <w:sz w:val="28"/>
          <w:szCs w:val="26"/>
          <w:lang w:eastAsia="pt-BR"/>
        </w:rPr>
      </w:pPr>
      <w:r w:rsidRPr="003042C4">
        <w:rPr>
          <w:i/>
          <w:sz w:val="22"/>
          <w:lang w:eastAsia="pt-BR"/>
        </w:rPr>
        <w:t>Links para os conteúdos sugeridos neste plano estão disponíveis na aba Saiba Mais.</w:t>
      </w: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3B07C1" w:rsidRPr="003B07C1" w:rsidRDefault="003B07C1" w:rsidP="003B07C1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B07C1">
        <w:rPr>
          <w:rFonts w:eastAsia="Times New Roman"/>
          <w:bCs/>
          <w:color w:val="auto"/>
          <w:sz w:val="22"/>
          <w:szCs w:val="22"/>
          <w:lang w:eastAsia="pt-BR"/>
        </w:rPr>
        <w:t>Etimologia das Palavras;</w:t>
      </w:r>
    </w:p>
    <w:p w:rsidR="003B07C1" w:rsidRPr="003B07C1" w:rsidRDefault="003B07C1" w:rsidP="003B07C1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B07C1">
        <w:rPr>
          <w:rFonts w:eastAsia="Times New Roman"/>
          <w:bCs/>
          <w:color w:val="auto"/>
          <w:sz w:val="22"/>
          <w:szCs w:val="22"/>
          <w:lang w:eastAsia="pt-BR"/>
        </w:rPr>
        <w:t>Índio;</w:t>
      </w:r>
    </w:p>
    <w:p w:rsidR="003B07C1" w:rsidRPr="003B07C1" w:rsidRDefault="003B07C1" w:rsidP="003B07C1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B07C1">
        <w:rPr>
          <w:rFonts w:eastAsia="Times New Roman"/>
          <w:bCs/>
          <w:color w:val="auto"/>
          <w:sz w:val="22"/>
          <w:szCs w:val="22"/>
          <w:lang w:eastAsia="pt-BR"/>
        </w:rPr>
        <w:t>Indígena;</w:t>
      </w:r>
    </w:p>
    <w:p w:rsidR="003B07C1" w:rsidRPr="003B07C1" w:rsidRDefault="003B07C1" w:rsidP="003B07C1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 w:rsidRPr="003B07C1">
        <w:rPr>
          <w:rFonts w:eastAsia="Times New Roman"/>
          <w:bCs/>
          <w:color w:val="auto"/>
          <w:sz w:val="22"/>
          <w:szCs w:val="22"/>
          <w:lang w:eastAsia="pt-BR"/>
        </w:rPr>
        <w:t>Representações.</w:t>
      </w: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3B07C1" w:rsidRPr="003B07C1" w:rsidRDefault="003B07C1" w:rsidP="003B07C1">
      <w:pPr>
        <w:rPr>
          <w:lang w:eastAsia="pt-BR"/>
        </w:rPr>
      </w:pPr>
      <w:r>
        <w:rPr>
          <w:lang w:eastAsia="pt-BR"/>
        </w:rPr>
        <w:t>Ensino Fundamental II; Etimologia; Representações; Indígena.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3042C4" w:rsidRDefault="003042C4" w:rsidP="003042C4">
      <w:pPr>
        <w:spacing w:line="360" w:lineRule="auto"/>
        <w:rPr>
          <w:lang w:eastAsia="pt-BR"/>
        </w:rPr>
      </w:pPr>
    </w:p>
    <w:p w:rsidR="003042C4" w:rsidRPr="003042C4" w:rsidRDefault="003042C4" w:rsidP="003042C4">
      <w:pPr>
        <w:spacing w:line="360" w:lineRule="auto"/>
        <w:rPr>
          <w:rFonts w:cs="Arial"/>
        </w:rPr>
      </w:pPr>
      <w:r w:rsidRPr="003042C4">
        <w:rPr>
          <w:rFonts w:cs="Arial"/>
        </w:rPr>
        <w:t>O material a seguir auxiliará o professor na preparação e na realização deste plano de aula</w:t>
      </w:r>
    </w:p>
    <w:p w:rsidR="003042C4" w:rsidRPr="003042C4" w:rsidRDefault="003042C4" w:rsidP="003042C4">
      <w:pPr>
        <w:numPr>
          <w:ilvl w:val="0"/>
          <w:numId w:val="34"/>
        </w:numPr>
        <w:spacing w:line="360" w:lineRule="auto"/>
        <w:rPr>
          <w:rFonts w:cs="Arial"/>
        </w:rPr>
      </w:pPr>
      <w:r w:rsidRPr="003042C4">
        <w:rPr>
          <w:rFonts w:cs="Arial"/>
          <w:i/>
        </w:rPr>
        <w:t>Ei! Tem alguém aí?</w:t>
      </w:r>
      <w:r w:rsidRPr="003042C4">
        <w:rPr>
          <w:rFonts w:cs="Arial"/>
        </w:rPr>
        <w:t>, de Jostein Gaarder. São Paulo: Companhia das Letrinhas, 1997.</w:t>
      </w:r>
    </w:p>
    <w:p w:rsidR="003042C4" w:rsidRPr="000F1A1F" w:rsidRDefault="003042C4" w:rsidP="003042C4">
      <w:pPr>
        <w:numPr>
          <w:ilvl w:val="0"/>
          <w:numId w:val="34"/>
        </w:numPr>
        <w:spacing w:line="360" w:lineRule="auto"/>
        <w:rPr>
          <w:rFonts w:cs="Arial"/>
        </w:rPr>
      </w:pPr>
      <w:r w:rsidRPr="000F1A1F">
        <w:rPr>
          <w:rFonts w:cs="Arial"/>
        </w:rPr>
        <w:t xml:space="preserve">O Dicionário Aulete Digital encontra-se disponível para download em: </w:t>
      </w:r>
      <w:hyperlink r:id="rId8" w:history="1">
        <w:r w:rsidRPr="000F1A1F">
          <w:rPr>
            <w:rStyle w:val="Hyperlink"/>
            <w:rFonts w:cs="Arial"/>
          </w:rPr>
          <w:t>http://www.auletedigital.com.br/</w:t>
        </w:r>
      </w:hyperlink>
      <w:r w:rsidR="000F1A1F" w:rsidRPr="000F1A1F">
        <w:rPr>
          <w:rFonts w:cs="Arial"/>
        </w:rPr>
        <w:t xml:space="preserve">, </w:t>
      </w:r>
      <w:r w:rsidRPr="000F1A1F">
        <w:rPr>
          <w:rFonts w:cs="Arial"/>
        </w:rPr>
        <w:t>Acesso em: 14 fev. 2012.</w:t>
      </w:r>
    </w:p>
    <w:p w:rsidR="003042C4" w:rsidRPr="000F1A1F" w:rsidRDefault="003042C4" w:rsidP="003042C4">
      <w:pPr>
        <w:numPr>
          <w:ilvl w:val="0"/>
          <w:numId w:val="34"/>
        </w:numPr>
        <w:spacing w:line="360" w:lineRule="auto"/>
        <w:rPr>
          <w:rFonts w:cs="Arial"/>
        </w:rPr>
      </w:pPr>
      <w:r w:rsidRPr="000F1A1F">
        <w:rPr>
          <w:rFonts w:cs="Arial"/>
        </w:rPr>
        <w:lastRenderedPageBreak/>
        <w:t xml:space="preserve">O artigo “Preguiçoso quem, cara pálida?”, de Luís Fernando Pereira, encontra-se disponível na íntegra em: </w:t>
      </w:r>
      <w:hyperlink r:id="rId9" w:history="1">
        <w:r w:rsidRPr="000F1A1F">
          <w:rPr>
            <w:rStyle w:val="Hyperlink"/>
            <w:rFonts w:cs="Arial"/>
          </w:rPr>
          <w:t>http://www.revistadehistoria.com.br/secao/capa/preguicoso-quem-cara-palida</w:t>
        </w:r>
      </w:hyperlink>
      <w:r w:rsidR="000F1A1F" w:rsidRPr="000F1A1F">
        <w:rPr>
          <w:rFonts w:cs="Arial"/>
        </w:rPr>
        <w:t xml:space="preserve">, </w:t>
      </w:r>
      <w:r w:rsidRPr="000F1A1F">
        <w:rPr>
          <w:rFonts w:cs="Arial"/>
        </w:rPr>
        <w:t>Acesso em: 14 fev. 2012.</w:t>
      </w:r>
    </w:p>
    <w:p w:rsidR="003042C4" w:rsidRPr="003042C4" w:rsidRDefault="003042C4" w:rsidP="003042C4">
      <w:pPr>
        <w:numPr>
          <w:ilvl w:val="0"/>
          <w:numId w:val="34"/>
        </w:numPr>
        <w:spacing w:line="360" w:lineRule="auto"/>
        <w:rPr>
          <w:rFonts w:cs="Arial"/>
        </w:rPr>
      </w:pPr>
      <w:r w:rsidRPr="003042C4">
        <w:rPr>
          <w:rFonts w:cs="Arial"/>
        </w:rPr>
        <w:t xml:space="preserve">Assista a “Caramuru – A invenção do Brasil” (Direção de Guel Arraes. Brasil, 2001.) em: </w:t>
      </w:r>
      <w:hyperlink r:id="rId10" w:history="1">
        <w:r w:rsidRPr="00780F90">
          <w:rPr>
            <w:rStyle w:val="Hyperlink"/>
            <w:rFonts w:cs="Arial"/>
          </w:rPr>
          <w:t>http://www.youtube.com/watch?v=1d3EkT2Qw6Q</w:t>
        </w:r>
      </w:hyperlink>
      <w:r>
        <w:rPr>
          <w:rFonts w:cs="Arial"/>
        </w:rPr>
        <w:t xml:space="preserve"> </w:t>
      </w:r>
      <w:r w:rsidRPr="003042C4">
        <w:rPr>
          <w:rFonts w:cs="Arial"/>
        </w:rPr>
        <w:t xml:space="preserve"> Acesso em: 14 fev. 2012.</w:t>
      </w:r>
    </w:p>
    <w:p w:rsidR="003042C4" w:rsidRPr="003042C4" w:rsidRDefault="003042C4" w:rsidP="003042C4">
      <w:pPr>
        <w:numPr>
          <w:ilvl w:val="0"/>
          <w:numId w:val="34"/>
        </w:numPr>
        <w:spacing w:line="360" w:lineRule="auto"/>
        <w:rPr>
          <w:rFonts w:cs="Arial"/>
        </w:rPr>
      </w:pPr>
      <w:r w:rsidRPr="003042C4">
        <w:rPr>
          <w:rFonts w:cs="Arial"/>
          <w:i/>
        </w:rPr>
        <w:t>Viagem à terra do Brasil</w:t>
      </w:r>
      <w:r w:rsidRPr="003042C4">
        <w:rPr>
          <w:rFonts w:cs="Arial"/>
        </w:rPr>
        <w:t>, de Jean de Léry, encontra-se d</w:t>
      </w:r>
      <w:r>
        <w:rPr>
          <w:rFonts w:cs="Arial"/>
        </w:rPr>
        <w:t xml:space="preserve">isponível em: </w:t>
      </w:r>
      <w:hyperlink r:id="rId11" w:history="1">
        <w:r w:rsidRPr="00780F90">
          <w:rPr>
            <w:rStyle w:val="Hyperlink"/>
            <w:rFonts w:cs="Arial"/>
          </w:rPr>
          <w:t>http://www.rbma.org.br/rbma/pdf/Caderno_10.pdf</w:t>
        </w:r>
      </w:hyperlink>
      <w:r>
        <w:rPr>
          <w:rFonts w:cs="Arial"/>
        </w:rPr>
        <w:t xml:space="preserve">  </w:t>
      </w:r>
      <w:r w:rsidRPr="003042C4">
        <w:rPr>
          <w:rFonts w:cs="Arial"/>
        </w:rPr>
        <w:t xml:space="preserve"> Acesso em: 14 fev. 2012.</w:t>
      </w:r>
    </w:p>
    <w:p w:rsidR="003042C4" w:rsidRDefault="003042C4" w:rsidP="003042C4">
      <w:pPr>
        <w:numPr>
          <w:ilvl w:val="0"/>
          <w:numId w:val="34"/>
        </w:numPr>
        <w:spacing w:line="360" w:lineRule="auto"/>
        <w:rPr>
          <w:rFonts w:cs="Arial"/>
        </w:rPr>
      </w:pPr>
      <w:r w:rsidRPr="003042C4">
        <w:rPr>
          <w:rFonts w:cs="Arial"/>
        </w:rPr>
        <w:t xml:space="preserve">A respeito das construções de determinadas representações sobre o “outro”, consulte </w:t>
      </w:r>
      <w:r w:rsidRPr="003042C4">
        <w:rPr>
          <w:rFonts w:cs="Arial"/>
          <w:i/>
        </w:rPr>
        <w:t xml:space="preserve">Imagens da colonização: a representação do índio de Caminho a Vieira, </w:t>
      </w:r>
      <w:r w:rsidRPr="003042C4">
        <w:rPr>
          <w:rFonts w:cs="Arial"/>
        </w:rPr>
        <w:t>de Ronald Raminelli.</w:t>
      </w:r>
      <w:r w:rsidRPr="003042C4">
        <w:rPr>
          <w:rFonts w:cs="Arial"/>
          <w:i/>
        </w:rPr>
        <w:t xml:space="preserve"> </w:t>
      </w:r>
      <w:r w:rsidRPr="003042C4">
        <w:rPr>
          <w:rFonts w:cs="Arial"/>
        </w:rPr>
        <w:t>Rio de Janeiro: Jorge Zahar, 1996.</w:t>
      </w:r>
    </w:p>
    <w:p w:rsidR="003042C4" w:rsidRPr="003042C4" w:rsidRDefault="003042C4" w:rsidP="003042C4">
      <w:pPr>
        <w:spacing w:line="360" w:lineRule="auto"/>
        <w:ind w:left="720"/>
        <w:rPr>
          <w:rFonts w:cs="Arial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3042C4">
        <w:rPr>
          <w:lang w:val="pt-BR" w:eastAsia="pt-BR"/>
        </w:rPr>
        <w:t>Ei! Tem alguém aí?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3042C4">
        <w:rPr>
          <w:rFonts w:cs="Arial"/>
          <w:szCs w:val="24"/>
        </w:rPr>
        <w:t>O objetivo deste plano é contextualizar, com base na etimologia das palavras ÍNDIO e INDÍGENA, a construção de determinadas representações sobre o “outro”, o indígena. Introduza-a com base na leitura deste fragmento de texto, extraído do livro “Ei! Tem alguém aí?”, de Jostein Gaarder, transcrito a seguir.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 xml:space="preserve"> “Quem é você?”, perguntou ele.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Essa mesmíssima pergunta estava na ponta da língua, pois achei meio injusto que ele tivesse passado na minha frente. Afinal, não fui eu que caí de repente no jardim dele – ou no planeta dele!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“Meu nome é Joakim”, falei.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“E eu sou Mika. Por que você está de cabeça para baixo?” [...]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“É você que está de cabeça para baixo!”, falei.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Mika tirou o polegar da boca e começou a esticar e abanar todos os dedos. Daí falou: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“Quando duas pessoas se encontram e uma delas está de cabeça para baixo, não é tão fácil dizer qual delas está na posição certa.”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 xml:space="preserve">Fiquei tão perplexo diante dessa resposta que não consegui pensar em nada para dizer. 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Ele apontou para o chão.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“Mesmo assim, seria muito bom se você me ajudasse a subir até o chão deste planeta!”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“Descer!”, exclamei.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t>“Não, subir!”, disse Mika. [...]</w:t>
      </w: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3042C4">
        <w:rPr>
          <w:rFonts w:cs="Arial"/>
          <w:i/>
          <w:szCs w:val="24"/>
        </w:rPr>
        <w:lastRenderedPageBreak/>
        <w:t>(GAARDER, Jostein. Ei! Tem alguém aí? São Paulo: Companhia das Letrinhas, 1997. p.22-23.)</w:t>
      </w:r>
    </w:p>
    <w:p w:rsid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sz w:val="28"/>
          <w:szCs w:val="32"/>
        </w:rPr>
      </w:pPr>
    </w:p>
    <w:p w:rsidR="003042C4" w:rsidRPr="003042C4" w:rsidRDefault="003042C4" w:rsidP="003042C4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3042C4">
        <w:rPr>
          <w:rFonts w:cs="Arial"/>
          <w:szCs w:val="24"/>
        </w:rPr>
        <w:t xml:space="preserve">Disponibilize cópias deste fragmento aos alunos, ou reproduza-o no quadro, e promova a leitura compartilhada e/ou dramática do texto. Ao final da leitura, lance a questão – </w:t>
      </w:r>
      <w:r w:rsidRPr="003042C4">
        <w:rPr>
          <w:rFonts w:cs="Arial"/>
          <w:b/>
          <w:i/>
          <w:szCs w:val="24"/>
        </w:rPr>
        <w:t>O que Mika quis dizer com “Quando duas pessoas se encontram e uma delas está de cabeça para baixo, não é tão fácil dizer qual delas está na posição correta”?</w:t>
      </w:r>
      <w:r w:rsidRPr="003042C4">
        <w:rPr>
          <w:rFonts w:cs="Arial"/>
          <w:szCs w:val="24"/>
        </w:rPr>
        <w:t xml:space="preserve"> – e estimule-os a debater a respeito.</w:t>
      </w: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3042C4">
        <w:rPr>
          <w:lang w:val="pt-BR" w:eastAsia="pt-BR"/>
        </w:rPr>
        <w:t>Índio ou Indígena? O jogo do dicionário (sem dicionário).</w:t>
      </w:r>
    </w:p>
    <w:p w:rsidR="003042C4" w:rsidRPr="003042C4" w:rsidRDefault="003042C4" w:rsidP="003042C4">
      <w:pPr>
        <w:rPr>
          <w:lang w:eastAsia="pt-BR"/>
        </w:rPr>
      </w:pPr>
    </w:p>
    <w:p w:rsidR="003042C4" w:rsidRPr="003042C4" w:rsidRDefault="003042C4" w:rsidP="003042C4">
      <w:pPr>
        <w:spacing w:line="360" w:lineRule="auto"/>
        <w:jc w:val="both"/>
        <w:rPr>
          <w:rFonts w:cs="Arial"/>
          <w:szCs w:val="24"/>
        </w:rPr>
      </w:pPr>
      <w:r w:rsidRPr="003042C4">
        <w:rPr>
          <w:rFonts w:cs="Arial"/>
          <w:szCs w:val="24"/>
        </w:rPr>
        <w:t>A seguir, convide os alunos a jogar O JOGO DO DICIONÁRIO (SEM DICIONÁRIO). Como?</w:t>
      </w:r>
    </w:p>
    <w:p w:rsidR="003042C4" w:rsidRPr="003042C4" w:rsidRDefault="003042C4" w:rsidP="003042C4">
      <w:pPr>
        <w:spacing w:line="360" w:lineRule="auto"/>
        <w:jc w:val="both"/>
        <w:rPr>
          <w:rFonts w:cs="Arial"/>
          <w:szCs w:val="24"/>
        </w:rPr>
      </w:pPr>
      <w:r w:rsidRPr="003042C4">
        <w:rPr>
          <w:rFonts w:cs="Arial"/>
          <w:szCs w:val="24"/>
        </w:rPr>
        <w:t xml:space="preserve">Cada aluno deverá receber uma cópia da FICHA 1 (ÍNDIO), como a sugerida a seguir, preencher, com o significado da palavra indicada, o campo DEFINIÇÃO, e devolvê-la ao professor. Explique que cada aluno deverá escrever a definição que julgar ser a mais correta, ou próxima da correta, da palavra indicada. Eis o objetivo do jogo. Enfatize que a consulta ao dicionário nesta etapa do jogo acarretará a desclassificação do aluno. </w:t>
      </w:r>
    </w:p>
    <w:p w:rsidR="00FC278F" w:rsidRDefault="00302881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5495925" cy="1714500"/>
            <wp:effectExtent l="19050" t="0" r="9525" b="0"/>
            <wp:docPr id="3" name="Imagem 3" descr="J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24F" w:rsidRPr="00DC724F" w:rsidRDefault="00DC724F" w:rsidP="00DC724F">
      <w:pPr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Com todas as fichas em mão, leia em voz alta a definição de cada uma das fichas, repetindo-a, quando necessário, sem identificar o autor. Anote-as no quadro ou convide um aluno para anotá-las. Ao finalizar a leitura das fichas, solicite a cada um dos alunos que eleja a definição que julgar ser a mais correta. Anote a pontuação (votação) ao lado de cada definição no quadro.  </w:t>
      </w:r>
    </w:p>
    <w:p w:rsidR="00DC724F" w:rsidRDefault="00DC724F" w:rsidP="00DC724F">
      <w:pPr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>A seguir, repita o procedimento, entregando a cada aluno uma cópia da FICHA 2 (INDÍGENA), como a sugerida a seguir. Ele deverá preencher, com o significado da palavra indicada, o campo DEFINIÇÃO, e devolvê-la ao professor, como na etapa anterior.</w:t>
      </w:r>
    </w:p>
    <w:p w:rsidR="00DC724F" w:rsidRDefault="00302881" w:rsidP="00DC724F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noProof/>
          <w:szCs w:val="24"/>
          <w:lang w:eastAsia="pt-BR"/>
        </w:rPr>
        <w:lastRenderedPageBreak/>
        <w:drawing>
          <wp:inline distT="0" distB="0" distL="0" distR="0">
            <wp:extent cx="5857875" cy="1828800"/>
            <wp:effectExtent l="19050" t="0" r="9525" b="0"/>
            <wp:docPr id="4" name="Imagem 4" descr="J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D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24F" w:rsidRPr="00DC724F" w:rsidRDefault="00DC724F" w:rsidP="00DC724F">
      <w:pPr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Com todas as fichas em mão, leia em voz alta a definição de cada uma das fichas, repetindo-a, quando necessário, sem identificar o autor. Anote-as no quadro ou convide um aluno para anotá-las. Ao finalizar a leitura das fichas, solicite a cada um dos alunos que eleja a definição que julgar ser a mais correta. Anote a pontuação (votação) ao lado de cada definição no quadro.  </w:t>
      </w:r>
    </w:p>
    <w:p w:rsidR="00DC724F" w:rsidRPr="00DC724F" w:rsidRDefault="00DC724F" w:rsidP="00DC724F">
      <w:pPr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Finalizada esta etapa, consulte, com os alunos, um dicionário em busca da definição e etimologia de cada uma destas palavras. E com base nesta definição e etimologia das palavras ÍNDIO e INDÍGENA, compare-a com as anotadas no quadro. A seguir, converse com os alunos a respeito da construção de determinadas representações sobre o “outro”. </w:t>
      </w:r>
    </w:p>
    <w:p w:rsidR="00DC724F" w:rsidRPr="00DC724F" w:rsidRDefault="00302881" w:rsidP="00DC724F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noProof/>
          <w:szCs w:val="24"/>
          <w:lang w:eastAsia="pt-BR"/>
        </w:rPr>
        <w:drawing>
          <wp:inline distT="0" distB="0" distL="0" distR="0">
            <wp:extent cx="6057900" cy="4048125"/>
            <wp:effectExtent l="19050" t="0" r="0" b="0"/>
            <wp:docPr id="5" name="Imagem 5" descr="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T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2C4" w:rsidRPr="00DC724F" w:rsidRDefault="00DC724F" w:rsidP="00DC724F">
      <w:pPr>
        <w:pStyle w:val="Ttulo2"/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pt-BR" w:eastAsia="pt-BR"/>
        </w:rPr>
      </w:pPr>
      <w:r w:rsidRPr="00DC724F">
        <w:rPr>
          <w:rFonts w:ascii="Arial" w:hAnsi="Arial" w:cs="Arial"/>
          <w:color w:val="auto"/>
          <w:sz w:val="22"/>
          <w:szCs w:val="22"/>
        </w:rPr>
        <w:lastRenderedPageBreak/>
        <w:t xml:space="preserve">Ao encerrar esta etapa, retome a questão – </w:t>
      </w:r>
      <w:r w:rsidRPr="00DC724F">
        <w:rPr>
          <w:rFonts w:ascii="Arial" w:hAnsi="Arial" w:cs="Arial"/>
          <w:b/>
          <w:i/>
          <w:color w:val="auto"/>
          <w:sz w:val="22"/>
          <w:szCs w:val="22"/>
        </w:rPr>
        <w:t>O que Mika quis dizer com “Quando duas pessoas se encontram e uma delas está de cabeça para baixo, não é tão fácil dizer qual delas está na posição correta”?</w:t>
      </w:r>
      <w:r w:rsidRPr="00DC724F">
        <w:rPr>
          <w:rFonts w:ascii="Arial" w:hAnsi="Arial" w:cs="Arial"/>
          <w:color w:val="auto"/>
          <w:sz w:val="22"/>
          <w:szCs w:val="22"/>
        </w:rPr>
        <w:t xml:space="preserve"> – e lance o desafio: </w:t>
      </w:r>
      <w:r w:rsidRPr="00DC724F">
        <w:rPr>
          <w:rFonts w:ascii="Arial" w:hAnsi="Arial" w:cs="Arial"/>
          <w:b/>
          <w:i/>
          <w:color w:val="auto"/>
          <w:sz w:val="22"/>
          <w:szCs w:val="22"/>
        </w:rPr>
        <w:t>É possível relacioná-la ao “equívoco” de Cristovão Colombo?</w:t>
      </w:r>
      <w:r w:rsidRPr="00DC724F">
        <w:rPr>
          <w:rFonts w:ascii="Arial" w:hAnsi="Arial" w:cs="Arial"/>
          <w:i/>
          <w:color w:val="auto"/>
          <w:sz w:val="22"/>
          <w:szCs w:val="22"/>
        </w:rPr>
        <w:t xml:space="preserve"> </w:t>
      </w:r>
      <w:r w:rsidRPr="00DC724F">
        <w:rPr>
          <w:rFonts w:ascii="Arial" w:hAnsi="Arial" w:cs="Arial"/>
          <w:color w:val="auto"/>
          <w:sz w:val="22"/>
          <w:szCs w:val="22"/>
        </w:rPr>
        <w:t>Solicite aos alunos que elaborem um pequeno texto a respeito.</w:t>
      </w:r>
    </w:p>
    <w:p w:rsidR="003042C4" w:rsidRDefault="003042C4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DC724F">
        <w:rPr>
          <w:lang w:val="pt-BR" w:eastAsia="pt-BR"/>
        </w:rPr>
        <w:t>Preguiçoso quem, Cara Pálida?</w:t>
      </w:r>
      <w:r w:rsidR="00A05F55">
        <w:rPr>
          <w:lang w:val="pt-BR" w:eastAsia="pt-BR"/>
        </w:rPr>
        <w:t xml:space="preserve"> </w:t>
      </w:r>
    </w:p>
    <w:p w:rsidR="00DC724F" w:rsidRP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Inicie esta etapa desafiando os alunos a enumerar outras representações construídas a respeito dos indígenas. E às representações enunciadas, acrescente o estereótipo referido no artigo “Preguiçoso quem, cara pálida?”, que trata destas representações construídas a respeito dos indígenas. Explique que estereótipos funcionam como decodificares capazes de traduzir realidades desconhecidas e compartilhe-o com os alunos. </w:t>
      </w:r>
    </w:p>
    <w:p w:rsidR="00DC724F" w:rsidRP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>“Os colonizadores tentavam compreender o indígena usando como parâmetros a cultura e a visão de mundo difundidas na Europa, como se estas fossem um padrão universal. Ao contrário do que pensavam os europeus, religião, direito, poder, propriedade, cultura e trabalho não são temas universais, encontrados aqui e em outras partes. A indolência dos indígenas se revelou um poderoso estereótipo – ainda hoje muito difundido – gerado por um absoluto desconhecimento da vida dos nativos. [...] Este raciocínio persiste ainda hoje na sociedade brasileira [...].” (“Preguiçoso quem, cara pálida?”, de Luís Fernando Pereira.)</w:t>
      </w:r>
    </w:p>
    <w:p w:rsidR="00DC724F" w:rsidRP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Solicite aos alunos que se posicionem a respeito da afirmação de Luís Fernando Pereira: “A indolência dos indígenas se revelou um poderoso estereótipo da vida dos nativos. [...] Este raciocínio persiste ainda hoje na sociedade brasileira”. A seguir, projete cenas do filme “Caramuru – A invenção do Brasil”, de modo a problematizar a questão “Preguiçoso quem cara pálida?”. </w:t>
      </w:r>
    </w:p>
    <w:p w:rsidR="00FC278F" w:rsidRDefault="00FC278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DC724F">
        <w:rPr>
          <w:lang w:val="pt-BR" w:eastAsia="pt-BR"/>
        </w:rPr>
        <w:t>Mas esse homem tão rico de quem me falas não morre?</w:t>
      </w:r>
      <w:r w:rsidR="000A61CB">
        <w:rPr>
          <w:lang w:val="pt-BR" w:eastAsia="pt-BR"/>
        </w:rPr>
        <w:t xml:space="preserve"> </w:t>
      </w:r>
    </w:p>
    <w:p w:rsidR="00DC724F" w:rsidRP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Nesta etapa, disponibilize cópias, ou transcreva no quadro, o fragmento de “Viagem à Terra do Brasil”, escrito por Jean de Léry, transcrito a seguir. </w:t>
      </w:r>
    </w:p>
    <w:p w:rsidR="00DC724F" w:rsidRP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 xml:space="preserve"> “Os nossos tupinambás muito se admiram dos franceses e outros estrangeiros se darem ao trabalho de ir buscar o seu </w:t>
      </w:r>
      <w:r w:rsidRPr="00DC724F">
        <w:rPr>
          <w:rFonts w:cs="Arial"/>
          <w:b/>
          <w:i/>
          <w:szCs w:val="24"/>
        </w:rPr>
        <w:t>arabutan</w:t>
      </w:r>
      <w:r w:rsidRPr="00DC724F">
        <w:rPr>
          <w:rFonts w:cs="Arial"/>
          <w:szCs w:val="24"/>
        </w:rPr>
        <w:t xml:space="preserve">. Uma vez um velho perguntou-me: Por que vindes vós outros, </w:t>
      </w:r>
      <w:r w:rsidRPr="00DC724F">
        <w:rPr>
          <w:rFonts w:cs="Arial"/>
          <w:b/>
          <w:i/>
          <w:szCs w:val="24"/>
        </w:rPr>
        <w:t>maírs</w:t>
      </w:r>
      <w:r w:rsidRPr="00DC724F">
        <w:rPr>
          <w:rFonts w:cs="Arial"/>
          <w:szCs w:val="24"/>
        </w:rPr>
        <w:t xml:space="preserve"> e </w:t>
      </w:r>
      <w:r w:rsidRPr="00DC724F">
        <w:rPr>
          <w:rFonts w:cs="Arial"/>
          <w:b/>
          <w:i/>
          <w:szCs w:val="24"/>
        </w:rPr>
        <w:t>perôs</w:t>
      </w:r>
      <w:r w:rsidRPr="00DC724F">
        <w:rPr>
          <w:rFonts w:cs="Arial"/>
          <w:szCs w:val="24"/>
        </w:rPr>
        <w:t>, buscar lenha de tão longe para vos aquecer? Não tendes madeira em vossa terra? Respondi que tínhamos muita mas não daquela qualidade, e que não a queimávamos, como ele o supunha, mas dela extraíamos tinta para tingir, tal qual o faziam eles com os seus cordões de algodão e suas plumas.</w:t>
      </w:r>
    </w:p>
    <w:p w:rsidR="00DC724F" w:rsidRP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i/>
          <w:szCs w:val="24"/>
        </w:rPr>
      </w:pPr>
      <w:r w:rsidRPr="00DC724F">
        <w:rPr>
          <w:rFonts w:cs="Arial"/>
          <w:szCs w:val="24"/>
        </w:rPr>
        <w:lastRenderedPageBreak/>
        <w:t xml:space="preserve">Retrucou o velho imediatamente: e porventura precisais de muito? – Sim, respondi-lhe, pois no nosso país existem negociantes que possuem mais panos, facas, tesouras, espelhos e outras mercadorias do que podeis imaginar e um só deles compra todo o pau-brasil com que muitos navios voltam carregados. – Ah! retrucou o selvagem, tu me contas maravilhas, acrescentando depois de bem compreender o que eu lhe dissera: Mas esse homem tão rico de que me falas não morre? – Sim, disse eu, morre como os outros.” (LÉRY, Jean de. </w:t>
      </w:r>
      <w:r w:rsidRPr="00DC724F">
        <w:rPr>
          <w:rFonts w:cs="Arial"/>
          <w:i/>
          <w:szCs w:val="24"/>
        </w:rPr>
        <w:t>Viagem à Terra do Brasil</w:t>
      </w:r>
      <w:r w:rsidRPr="00DC724F">
        <w:rPr>
          <w:rFonts w:cs="Arial"/>
          <w:szCs w:val="24"/>
        </w:rPr>
        <w:t>. Belo Horizonte: Itatiaia; São Paulo: Edusp, 1980. p.169.)</w:t>
      </w:r>
      <w:r w:rsidRPr="00DC724F">
        <w:rPr>
          <w:rFonts w:cs="Arial"/>
          <w:i/>
          <w:szCs w:val="24"/>
        </w:rPr>
        <w:t xml:space="preserve"> </w:t>
      </w:r>
    </w:p>
    <w:p w:rsidR="00DC724F" w:rsidRDefault="00DC724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DC724F">
        <w:rPr>
          <w:rFonts w:cs="Arial"/>
          <w:szCs w:val="24"/>
        </w:rPr>
        <w:tab/>
        <w:t>Explique que “</w:t>
      </w:r>
      <w:r w:rsidRPr="00DC724F">
        <w:rPr>
          <w:rFonts w:cs="Arial"/>
          <w:b/>
          <w:i/>
          <w:szCs w:val="24"/>
        </w:rPr>
        <w:t>arabutan</w:t>
      </w:r>
      <w:r w:rsidRPr="00DC724F">
        <w:rPr>
          <w:rFonts w:cs="Arial"/>
          <w:szCs w:val="24"/>
        </w:rPr>
        <w:t>” é pau-brasil, em tupi, “</w:t>
      </w:r>
      <w:r w:rsidRPr="00DC724F">
        <w:rPr>
          <w:rFonts w:cs="Arial"/>
          <w:b/>
          <w:i/>
          <w:szCs w:val="24"/>
        </w:rPr>
        <w:t>maírs</w:t>
      </w:r>
      <w:r w:rsidRPr="00DC724F">
        <w:rPr>
          <w:rFonts w:cs="Arial"/>
          <w:szCs w:val="24"/>
        </w:rPr>
        <w:t>”, o modo pelo qual os nativos chamavam os franceses, e “</w:t>
      </w:r>
      <w:r w:rsidRPr="00DC724F">
        <w:rPr>
          <w:rFonts w:cs="Arial"/>
          <w:b/>
          <w:i/>
          <w:szCs w:val="24"/>
        </w:rPr>
        <w:t>perôs</w:t>
      </w:r>
      <w:r w:rsidRPr="00DC724F">
        <w:rPr>
          <w:rFonts w:cs="Arial"/>
          <w:szCs w:val="24"/>
        </w:rPr>
        <w:t xml:space="preserve">”, a forma como os nativos chamavam os portugueses. A seguir, proponha aos alunos que, em grupos, identifiquem no texto as representações em construção. Explore a incompreensão em relação à acumulação de riquezas – </w:t>
      </w:r>
      <w:r w:rsidRPr="00DC724F">
        <w:rPr>
          <w:rFonts w:cs="Arial"/>
          <w:b/>
          <w:i/>
          <w:szCs w:val="24"/>
        </w:rPr>
        <w:t>“Mas esse homem tão rico de que me falas não morre?”</w:t>
      </w:r>
      <w:r w:rsidRPr="00DC724F">
        <w:rPr>
          <w:rFonts w:cs="Arial"/>
          <w:szCs w:val="24"/>
        </w:rPr>
        <w:t>.</w:t>
      </w:r>
      <w:r w:rsidRPr="00DC724F">
        <w:rPr>
          <w:rFonts w:cs="Arial"/>
          <w:b/>
          <w:i/>
          <w:szCs w:val="24"/>
        </w:rPr>
        <w:t xml:space="preserve"> </w:t>
      </w:r>
      <w:r w:rsidRPr="00DC724F">
        <w:rPr>
          <w:rFonts w:cs="Arial"/>
          <w:szCs w:val="24"/>
        </w:rPr>
        <w:t xml:space="preserve">E a incompreensão face à incompreensão – </w:t>
      </w:r>
      <w:r w:rsidRPr="00DC724F">
        <w:rPr>
          <w:rFonts w:cs="Arial"/>
          <w:b/>
          <w:i/>
          <w:szCs w:val="24"/>
        </w:rPr>
        <w:t>“No nosso país existem negociantes que possuem mais panos, facas, tesouras, espelhos e outras mercadorias do que podeis imaginar”.</w:t>
      </w:r>
      <w:r w:rsidRPr="00DC724F">
        <w:rPr>
          <w:rFonts w:cs="Arial"/>
          <w:szCs w:val="24"/>
        </w:rPr>
        <w:t xml:space="preserve"> Preguiçoso quem, cara pálida?</w:t>
      </w:r>
    </w:p>
    <w:p w:rsidR="00466FD3" w:rsidRPr="00466FD3" w:rsidRDefault="00466FD3" w:rsidP="00466FD3">
      <w:pPr>
        <w:rPr>
          <w:rFonts w:cs="Arial"/>
          <w:sz w:val="24"/>
          <w:szCs w:val="24"/>
        </w:rPr>
      </w:pPr>
      <w:r w:rsidRPr="00466FD3">
        <w:rPr>
          <w:rFonts w:cs="Arial"/>
          <w:sz w:val="24"/>
          <w:szCs w:val="24"/>
        </w:rPr>
        <w:t>Encerre esta etapa, desafiando os alunos a resolver a Questão 31 do Caderno 1 Azul da Prova de Ciências Humanas e suas Tecnologias do Exame Nacional do Ensino Médio 2011, transcrita a seguir. Espera-se que os alunos identifiquem que a alternativa correta é o item (a).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 xml:space="preserve">“Em geral, os nossos tupinambás ficam bem admirados ao ver os franceses e os outros dos países longínquos terem tanto trabalho para buscar o seu arabotã, isto é, pau-brasil. Houve uma vez um ancião da tribo que me fez esta pergunta: “Por que vindes vós outros, mairs e perôs (franceses e portugueses), buscar lenha de tão longe para vos aquecer? Não tendes madeira em vossa terra?” (LERY, J. Viagem a Terra do Brasil. </w:t>
      </w:r>
      <w:r w:rsidRPr="00466FD3">
        <w:rPr>
          <w:rFonts w:eastAsia="ArialMT" w:cs="Arial"/>
          <w:i/>
          <w:iCs/>
          <w:sz w:val="24"/>
          <w:szCs w:val="24"/>
        </w:rPr>
        <w:t>In</w:t>
      </w:r>
      <w:r w:rsidRPr="00466FD3">
        <w:rPr>
          <w:rFonts w:eastAsia="ArialMT" w:cs="Arial"/>
          <w:sz w:val="24"/>
          <w:szCs w:val="24"/>
        </w:rPr>
        <w:t xml:space="preserve">: FERNANDES, F. </w:t>
      </w:r>
      <w:r w:rsidRPr="00466FD3">
        <w:rPr>
          <w:rFonts w:eastAsia="ArialMT" w:cs="Arial"/>
          <w:bCs/>
          <w:sz w:val="24"/>
          <w:szCs w:val="24"/>
        </w:rPr>
        <w:t>Mudanças Sociais no Brasil</w:t>
      </w:r>
      <w:r w:rsidRPr="00466FD3">
        <w:rPr>
          <w:rFonts w:eastAsia="ArialMT" w:cs="Arial"/>
          <w:i/>
          <w:iCs/>
          <w:sz w:val="24"/>
          <w:szCs w:val="24"/>
        </w:rPr>
        <w:t xml:space="preserve">. </w:t>
      </w:r>
      <w:r w:rsidRPr="00466FD3">
        <w:rPr>
          <w:rFonts w:eastAsia="ArialMT" w:cs="Arial"/>
          <w:sz w:val="24"/>
          <w:szCs w:val="24"/>
        </w:rPr>
        <w:t>São Paulo: Difel, 1974.)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>O viajante francês Jean de Léry (1534-1611) reproduz um diálogo travado, em 1557, com um ancião tupinambá, o qual demonstra uma diferença entre a sociedade europeia e a indígena no sentido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>a)</w:t>
      </w:r>
      <w:r w:rsidRPr="00466FD3">
        <w:rPr>
          <w:rFonts w:eastAsia="ArialMT" w:cs="Arial"/>
          <w:sz w:val="24"/>
          <w:szCs w:val="24"/>
        </w:rPr>
        <w:tab/>
        <w:t>do destino dado ao produto do trabalho nos seus sistemas culturais.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>b)</w:t>
      </w:r>
      <w:r w:rsidRPr="00466FD3">
        <w:rPr>
          <w:rFonts w:eastAsia="ArialMT" w:cs="Arial"/>
          <w:sz w:val="24"/>
          <w:szCs w:val="24"/>
        </w:rPr>
        <w:tab/>
        <w:t>da preocupação com a preservação dos recursos ambientais.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>c)</w:t>
      </w:r>
      <w:r w:rsidRPr="00466FD3">
        <w:rPr>
          <w:rFonts w:eastAsia="ArialMT" w:cs="Arial"/>
          <w:sz w:val="24"/>
          <w:szCs w:val="24"/>
        </w:rPr>
        <w:tab/>
        <w:t>do interesse de ambas em uma exploração comercial mais lucrativa do pau-</w:t>
      </w:r>
      <w:r w:rsidRPr="00466FD3">
        <w:rPr>
          <w:rFonts w:eastAsia="ArialMT" w:cs="Arial"/>
          <w:sz w:val="24"/>
          <w:szCs w:val="24"/>
        </w:rPr>
        <w:tab/>
        <w:t>brasil.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eastAsia="ArialMT" w:cs="Arial"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>d)</w:t>
      </w:r>
      <w:r w:rsidRPr="00466FD3">
        <w:rPr>
          <w:rFonts w:eastAsia="ArialMT" w:cs="Arial"/>
          <w:sz w:val="24"/>
          <w:szCs w:val="24"/>
        </w:rPr>
        <w:tab/>
        <w:t>da curiosidade, reverência e abertura cultural recíprocas.</w:t>
      </w:r>
    </w:p>
    <w:p w:rsidR="00466FD3" w:rsidRPr="00466FD3" w:rsidRDefault="00466FD3" w:rsidP="00466FD3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  <w:szCs w:val="24"/>
        </w:rPr>
      </w:pPr>
      <w:r w:rsidRPr="00466FD3">
        <w:rPr>
          <w:rFonts w:eastAsia="ArialMT" w:cs="Arial"/>
          <w:sz w:val="24"/>
          <w:szCs w:val="24"/>
        </w:rPr>
        <w:t>e)</w:t>
      </w:r>
      <w:r w:rsidRPr="00466FD3">
        <w:rPr>
          <w:rFonts w:eastAsia="ArialMT" w:cs="Arial"/>
          <w:sz w:val="24"/>
          <w:szCs w:val="24"/>
        </w:rPr>
        <w:tab/>
        <w:t>da preocupação com o armazenamento de madeira para os períodos de inverno.</w:t>
      </w:r>
    </w:p>
    <w:p w:rsidR="00466FD3" w:rsidRPr="00466FD3" w:rsidRDefault="00466FD3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</w:p>
    <w:p w:rsidR="00DC724F" w:rsidRPr="00466FD3" w:rsidRDefault="000F1A1F" w:rsidP="00E37A80">
      <w:pPr>
        <w:shd w:val="clear" w:color="auto" w:fill="FFFFFF"/>
        <w:spacing w:line="360" w:lineRule="auto"/>
        <w:jc w:val="both"/>
        <w:rPr>
          <w:rFonts w:cs="Arial"/>
          <w:szCs w:val="24"/>
        </w:rPr>
      </w:pPr>
      <w:r w:rsidRPr="00466FD3">
        <w:rPr>
          <w:rFonts w:cs="Arial"/>
          <w:szCs w:val="24"/>
        </w:rPr>
        <w:t xml:space="preserve">Plano de aula: </w:t>
      </w:r>
      <w:r w:rsidR="00DC724F" w:rsidRPr="00466FD3">
        <w:rPr>
          <w:rFonts w:cs="Arial"/>
          <w:szCs w:val="24"/>
        </w:rPr>
        <w:t>Profa. Me. Ana Pelegrini.</w:t>
      </w:r>
    </w:p>
    <w:p w:rsidR="000A61CB" w:rsidRPr="00466FD3" w:rsidRDefault="000A61CB" w:rsidP="00DC724F">
      <w:pPr>
        <w:spacing w:line="360" w:lineRule="auto"/>
        <w:jc w:val="both"/>
        <w:rPr>
          <w:rFonts w:cs="Arial"/>
          <w:sz w:val="23"/>
          <w:szCs w:val="23"/>
        </w:rPr>
      </w:pPr>
    </w:p>
    <w:sectPr w:rsidR="000A61CB" w:rsidRPr="00466FD3" w:rsidSect="0055412B">
      <w:headerReference w:type="default" r:id="rId15"/>
      <w:footerReference w:type="default" r:id="rId16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808" w:rsidRDefault="00EE2808" w:rsidP="00BB7A04">
      <w:pPr>
        <w:spacing w:after="0" w:line="240" w:lineRule="auto"/>
      </w:pPr>
      <w:r>
        <w:separator/>
      </w:r>
    </w:p>
  </w:endnote>
  <w:endnote w:type="continuationSeparator" w:id="0">
    <w:p w:rsidR="00EE2808" w:rsidRDefault="00EE280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76" w:rsidRPr="006A3602" w:rsidRDefault="00924876" w:rsidP="00924876">
    <w:pPr>
      <w:pStyle w:val="NoSpacing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Pr="006A3602">
      <w:rPr>
        <w:rStyle w:val="apple-style-span"/>
        <w:color w:val="566270"/>
        <w:sz w:val="16"/>
        <w:szCs w:val="16"/>
      </w:rPr>
      <w:pict>
        <v:line id="Conector reto 10" o:spid="_x0000_s2052" style="position:absolute;flip:y;z-index:251658752;visibility:visible;mso-position-horizontal-relative:text;mso-position-vertical-relative:text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" strokecolor="#4579b8">
          <o:lock v:ext="edit" shapetype="f"/>
        </v:line>
      </w:pic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FC278F">
      <w:rPr>
        <w:rStyle w:val="apple-style-span"/>
        <w:color w:val="566270"/>
        <w:sz w:val="16"/>
        <w:szCs w:val="16"/>
      </w:rPr>
      <w:t xml:space="preserve">Dossiê </w:t>
    </w:r>
    <w:r w:rsidR="00DC724F">
      <w:rPr>
        <w:rStyle w:val="apple-style-span"/>
        <w:color w:val="566270"/>
        <w:sz w:val="16"/>
        <w:szCs w:val="16"/>
      </w:rPr>
      <w:t>Cultura Indígena: Etimologia e Representações. Profa. Me. Ana Pelegrini.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302881">
      <w:rPr>
        <w:noProof/>
      </w:rPr>
      <w:t>4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808" w:rsidRDefault="00EE2808" w:rsidP="00BB7A04">
      <w:pPr>
        <w:spacing w:after="0" w:line="240" w:lineRule="auto"/>
      </w:pPr>
      <w:r>
        <w:separator/>
      </w:r>
    </w:p>
  </w:footnote>
  <w:footnote w:type="continuationSeparator" w:id="0">
    <w:p w:rsidR="00EE2808" w:rsidRDefault="00EE280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96" w:rsidRDefault="00A31002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2050" type="#_x0000_t202" style="position:absolute;margin-left:146.15pt;margin-top:-11.65pt;width:367.95pt;height:39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<v:path arrowok="t"/>
          <v:textbox>
            <w:txbxContent>
              <w:p w:rsidR="00080913" w:rsidRPr="00080913" w:rsidRDefault="00535F86" w:rsidP="0055412B">
                <w:pPr>
                  <w:pStyle w:val="Ttulo1"/>
                  <w:jc w:val="right"/>
                </w:pPr>
                <w:r>
                  <w:rPr>
                    <w:sz w:val="22"/>
                    <w:lang w:val="pt-BR"/>
                  </w:rPr>
                  <w:t xml:space="preserve">Dossiê </w:t>
                </w:r>
                <w:r w:rsidR="008C727F">
                  <w:rPr>
                    <w:sz w:val="22"/>
                    <w:lang w:val="pt-BR"/>
                  </w:rPr>
                  <w:t>Cultura Indígena: Etimologia e Representações.</w:t>
                </w:r>
              </w:p>
            </w:txbxContent>
          </v:textbox>
        </v:shape>
      </w:pict>
    </w:r>
    <w:r>
      <w:rPr>
        <w:noProof/>
        <w:lang w:eastAsia="pt-BR"/>
      </w:rPr>
      <w:pict>
        <v:line id="Conector reto 3" o:spid="_x0000_s2049" style="position:absolute;z-index:251656704;visibility:visible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" strokecolor="#4579b8">
          <o:lock v:ext="edit" shapetype="f"/>
        </v:line>
      </w:pict>
    </w:r>
    <w:r w:rsidR="00302881">
      <w:rPr>
        <w:noProof/>
        <w:lang w:eastAsia="pt-BR"/>
      </w:rPr>
      <w:drawing>
        <wp:inline distT="0" distB="0" distL="0" distR="0">
          <wp:extent cx="742950" cy="36195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791481"/>
    <w:multiLevelType w:val="hybridMultilevel"/>
    <w:tmpl w:val="A7B2FC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21"/>
  </w:num>
  <w:num w:numId="4">
    <w:abstractNumId w:val="31"/>
  </w:num>
  <w:num w:numId="5">
    <w:abstractNumId w:val="5"/>
  </w:num>
  <w:num w:numId="6">
    <w:abstractNumId w:val="23"/>
  </w:num>
  <w:num w:numId="7">
    <w:abstractNumId w:val="4"/>
  </w:num>
  <w:num w:numId="8">
    <w:abstractNumId w:val="28"/>
  </w:num>
  <w:num w:numId="9">
    <w:abstractNumId w:val="3"/>
  </w:num>
  <w:num w:numId="10">
    <w:abstractNumId w:val="33"/>
  </w:num>
  <w:num w:numId="11">
    <w:abstractNumId w:val="29"/>
  </w:num>
  <w:num w:numId="12">
    <w:abstractNumId w:val="25"/>
  </w:num>
  <w:num w:numId="13">
    <w:abstractNumId w:val="1"/>
  </w:num>
  <w:num w:numId="14">
    <w:abstractNumId w:val="27"/>
  </w:num>
  <w:num w:numId="15">
    <w:abstractNumId w:val="15"/>
  </w:num>
  <w:num w:numId="16">
    <w:abstractNumId w:val="6"/>
  </w:num>
  <w:num w:numId="17">
    <w:abstractNumId w:val="24"/>
  </w:num>
  <w:num w:numId="18">
    <w:abstractNumId w:val="2"/>
  </w:num>
  <w:num w:numId="19">
    <w:abstractNumId w:val="16"/>
  </w:num>
  <w:num w:numId="20">
    <w:abstractNumId w:val="14"/>
  </w:num>
  <w:num w:numId="21">
    <w:abstractNumId w:val="17"/>
  </w:num>
  <w:num w:numId="22">
    <w:abstractNumId w:val="0"/>
  </w:num>
  <w:num w:numId="23">
    <w:abstractNumId w:val="11"/>
  </w:num>
  <w:num w:numId="24">
    <w:abstractNumId w:val="13"/>
  </w:num>
  <w:num w:numId="25">
    <w:abstractNumId w:val="12"/>
  </w:num>
  <w:num w:numId="26">
    <w:abstractNumId w:val="22"/>
  </w:num>
  <w:num w:numId="27">
    <w:abstractNumId w:val="30"/>
  </w:num>
  <w:num w:numId="28">
    <w:abstractNumId w:val="20"/>
  </w:num>
  <w:num w:numId="29">
    <w:abstractNumId w:val="9"/>
  </w:num>
  <w:num w:numId="30">
    <w:abstractNumId w:val="10"/>
  </w:num>
  <w:num w:numId="31">
    <w:abstractNumId w:val="26"/>
  </w:num>
  <w:num w:numId="32">
    <w:abstractNumId w:val="32"/>
  </w:num>
  <w:num w:numId="33">
    <w:abstractNumId w:val="18"/>
  </w:num>
  <w:num w:numId="34">
    <w:abstractNumId w:val="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0F1A1F"/>
    <w:rsid w:val="001365C8"/>
    <w:rsid w:val="00141CF5"/>
    <w:rsid w:val="001624C8"/>
    <w:rsid w:val="00165CEB"/>
    <w:rsid w:val="0017343F"/>
    <w:rsid w:val="00180E62"/>
    <w:rsid w:val="00190B70"/>
    <w:rsid w:val="0019259B"/>
    <w:rsid w:val="001B4156"/>
    <w:rsid w:val="001C001C"/>
    <w:rsid w:val="001C7B59"/>
    <w:rsid w:val="001D0E92"/>
    <w:rsid w:val="001D60A7"/>
    <w:rsid w:val="001E25A4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2881"/>
    <w:rsid w:val="003031DE"/>
    <w:rsid w:val="003042C4"/>
    <w:rsid w:val="00310141"/>
    <w:rsid w:val="00320FA4"/>
    <w:rsid w:val="00326515"/>
    <w:rsid w:val="00334912"/>
    <w:rsid w:val="0034186B"/>
    <w:rsid w:val="00362761"/>
    <w:rsid w:val="00397E5D"/>
    <w:rsid w:val="003B07C1"/>
    <w:rsid w:val="003E6CD2"/>
    <w:rsid w:val="003F657D"/>
    <w:rsid w:val="003F7BFD"/>
    <w:rsid w:val="004005B3"/>
    <w:rsid w:val="004008FB"/>
    <w:rsid w:val="00421BEA"/>
    <w:rsid w:val="004458A6"/>
    <w:rsid w:val="0045122D"/>
    <w:rsid w:val="00466FD3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0AC6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C727F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C724F"/>
    <w:rsid w:val="00DE0A86"/>
    <w:rsid w:val="00DF26B0"/>
    <w:rsid w:val="00DF4277"/>
    <w:rsid w:val="00DF79B3"/>
    <w:rsid w:val="00E307CF"/>
    <w:rsid w:val="00E37A80"/>
    <w:rsid w:val="00E40C28"/>
    <w:rsid w:val="00E71991"/>
    <w:rsid w:val="00E747FD"/>
    <w:rsid w:val="00E949CC"/>
    <w:rsid w:val="00EA23F8"/>
    <w:rsid w:val="00EA59F6"/>
    <w:rsid w:val="00EE0FC6"/>
    <w:rsid w:val="00EE2367"/>
    <w:rsid w:val="00EE2808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">
    <w:name w:val="No Spacing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2165F4"/>
    <w:rPr>
      <w:sz w:val="22"/>
      <w:szCs w:val="22"/>
      <w:lang w:val="pt-BR" w:eastAsia="en-US" w:bidi="ar-SA"/>
    </w:rPr>
  </w:style>
  <w:style w:type="paragraph" w:styleId="ListaColorida-nfase1">
    <w:name w:val="Colorful List Accent 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styleId="GradeColorida-nfase1">
    <w:name w:val="Colorful Grid Accent 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styleId="SombreamentoClaro-nfase2">
    <w:name w:val="Light Shading Accent 2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">
    <w:name w:val="Subtle Emphasis"/>
    <w:uiPriority w:val="19"/>
    <w:qFormat/>
    <w:rsid w:val="002165F4"/>
    <w:rPr>
      <w:i/>
      <w:iCs/>
      <w:color w:val="000000"/>
    </w:rPr>
  </w:style>
  <w:style w:type="character" w:customStyle="1" w:styleId="IntenseEmphasis">
    <w:name w:val="Intense Emphasis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">
    <w:name w:val="Subtle Reference"/>
    <w:uiPriority w:val="31"/>
    <w:qFormat/>
    <w:rsid w:val="002165F4"/>
    <w:rPr>
      <w:smallCaps/>
      <w:color w:val="000000"/>
      <w:u w:val="single"/>
    </w:rPr>
  </w:style>
  <w:style w:type="character" w:customStyle="1" w:styleId="IntenseReference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ListParagraph">
    <w:name w:val="List Paragraph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letedigital.com.br/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bma.org.br/rbma/pdf/Caderno_10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youtube.com/watch?v=1d3EkT2Qw6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vistadehistoria.com.br/secao/capa/preguicoso-quem-cara-palida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1631</Words>
  <Characters>8811</Characters>
  <Application>Microsoft Office Word</Application>
  <DocSecurity>4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10422</CharactersWithSpaces>
  <SharedDoc>false</SharedDoc>
  <HLinks>
    <vt:vector size="24" baseType="variant">
      <vt:variant>
        <vt:i4>6029410</vt:i4>
      </vt:variant>
      <vt:variant>
        <vt:i4>9</vt:i4>
      </vt:variant>
      <vt:variant>
        <vt:i4>0</vt:i4>
      </vt:variant>
      <vt:variant>
        <vt:i4>5</vt:i4>
      </vt:variant>
      <vt:variant>
        <vt:lpwstr>http://www.rbma.org.br/rbma/pdf/Caderno_10.pdf</vt:lpwstr>
      </vt:variant>
      <vt:variant>
        <vt:lpwstr/>
      </vt:variant>
      <vt:variant>
        <vt:i4>7929973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http://www.youtube.com/watch?v=1d3EkT2Qw6Q</vt:lpwstr>
      </vt:variant>
      <vt:variant>
        <vt:lpwstr/>
      </vt:variant>
      <vt:variant>
        <vt:i4>3014706</vt:i4>
      </vt:variant>
      <vt:variant>
        <vt:i4>3</vt:i4>
      </vt:variant>
      <vt:variant>
        <vt:i4>0</vt:i4>
      </vt:variant>
      <vt:variant>
        <vt:i4>5</vt:i4>
      </vt:variant>
      <vt:variant>
        <vt:lpwstr>http://www.revistadehistoria.com.br/secao/capa/preguicoso-quem-cara-palida</vt:lpwstr>
      </vt:variant>
      <vt:variant>
        <vt:lpwstr/>
      </vt:variant>
      <vt:variant>
        <vt:i4>655449</vt:i4>
      </vt:variant>
      <vt:variant>
        <vt:i4>0</vt:i4>
      </vt:variant>
      <vt:variant>
        <vt:i4>0</vt:i4>
      </vt:variant>
      <vt:variant>
        <vt:i4>5</vt:i4>
      </vt:variant>
      <vt:variant>
        <vt:lpwstr>http://www.auletedigital.com.br/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N5678682</cp:lastModifiedBy>
  <cp:revision>2</cp:revision>
  <cp:lastPrinted>2011-06-13T13:44:00Z</cp:lastPrinted>
  <dcterms:created xsi:type="dcterms:W3CDTF">2012-03-09T20:50:00Z</dcterms:created>
  <dcterms:modified xsi:type="dcterms:W3CDTF">2012-03-09T20:50:00Z</dcterms:modified>
</cp:coreProperties>
</file>